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B951FF">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68107156">
      <w:pPr>
        <w:autoSpaceDE w:val="0"/>
        <w:autoSpaceDN w:val="0"/>
        <w:adjustRightInd w:val="0"/>
        <w:jc w:val="left"/>
        <w:rPr>
          <w:rFonts w:hint="eastAsia"/>
          <w:b/>
          <w:sz w:val="28"/>
          <w:szCs w:val="28"/>
        </w:rPr>
      </w:pPr>
      <w:r>
        <w:rPr>
          <w:rFonts w:hint="eastAsia"/>
          <w:b/>
          <w:sz w:val="28"/>
          <w:szCs w:val="28"/>
        </w:rPr>
        <w:t xml:space="preserve">GNAQ </w:t>
      </w:r>
      <w:r>
        <w:rPr>
          <w:rFonts w:hint="eastAsia"/>
          <w:b/>
          <w:sz w:val="28"/>
          <w:szCs w:val="28"/>
          <w:lang/>
        </w:rPr>
        <w:t>(</w:t>
      </w:r>
      <w:r>
        <w:rPr>
          <w:rFonts w:hint="eastAsia"/>
          <w:b/>
          <w:sz w:val="28"/>
          <w:szCs w:val="28"/>
        </w:rPr>
        <w:t>Q209L</w:t>
      </w:r>
      <w:r>
        <w:rPr>
          <w:rFonts w:hint="eastAsia"/>
          <w:b/>
          <w:sz w:val="28"/>
          <w:szCs w:val="28"/>
          <w:lang/>
        </w:rPr>
        <w:t>)</w:t>
      </w:r>
    </w:p>
    <w:p w14:paraId="1F67F304">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26328</w:t>
      </w:r>
    </w:p>
    <w:p w14:paraId="355BFE65">
      <w:pPr>
        <w:autoSpaceDE w:val="0"/>
        <w:autoSpaceDN w:val="0"/>
        <w:adjustRightInd w:val="0"/>
        <w:jc w:val="left"/>
        <w:rPr>
          <w:rFonts w:hint="eastAsia"/>
          <w:szCs w:val="21"/>
        </w:rPr>
      </w:pPr>
      <w:r>
        <w:rPr>
          <w:b/>
          <w:szCs w:val="21"/>
        </w:rPr>
        <w:t xml:space="preserve">Gene Symbol: </w:t>
      </w:r>
      <w:r>
        <w:rPr>
          <w:rFonts w:hint="eastAsia"/>
          <w:szCs w:val="21"/>
        </w:rPr>
        <w:t>GNAQ</w:t>
      </w:r>
      <w:r>
        <w:rPr>
          <w:szCs w:val="21"/>
        </w:rPr>
        <w:t xml:space="preserve">, </w:t>
      </w:r>
      <w:r>
        <w:rPr>
          <w:rFonts w:hint="eastAsia"/>
          <w:szCs w:val="21"/>
        </w:rPr>
        <w:t>CMC1, G-ALPHA-q, GAQ, SWS</w:t>
      </w:r>
    </w:p>
    <w:p w14:paraId="41BD70FE">
      <w:pPr>
        <w:autoSpaceDE w:val="0"/>
        <w:autoSpaceDN w:val="0"/>
        <w:adjustRightInd w:val="0"/>
        <w:jc w:val="left"/>
        <w:rPr>
          <w:b/>
          <w:szCs w:val="21"/>
        </w:rPr>
      </w:pPr>
      <w:r>
        <w:rPr>
          <w:b/>
          <w:szCs w:val="21"/>
        </w:rPr>
        <w:t xml:space="preserve">Description: </w:t>
      </w:r>
      <w:r>
        <w:rPr>
          <w:szCs w:val="21"/>
        </w:rPr>
        <w:t>Anti-</w:t>
      </w:r>
      <w:r>
        <w:rPr>
          <w:rFonts w:hint="eastAsia"/>
          <w:szCs w:val="21"/>
        </w:rPr>
        <w:t>GNAQ (Q209L) Mouse</w:t>
      </w:r>
      <w:r>
        <w:rPr>
          <w:rFonts w:hint="eastAsia"/>
          <w:szCs w:val="21"/>
          <w:lang/>
        </w:rPr>
        <w:t xml:space="preserve"> </w:t>
      </w:r>
      <w:r>
        <w:rPr>
          <w:rFonts w:hint="eastAsia"/>
          <w:szCs w:val="21"/>
        </w:rPr>
        <w:t>Monoclonal</w:t>
      </w:r>
      <w:r>
        <w:rPr>
          <w:szCs w:val="21"/>
          <w:lang/>
        </w:rPr>
        <w:t xml:space="preserve"> Antibody</w:t>
      </w:r>
    </w:p>
    <w:p w14:paraId="5D94AE7B">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D7DB276">
      <w:pPr>
        <w:autoSpaceDE w:val="0"/>
        <w:autoSpaceDN w:val="0"/>
        <w:adjustRightInd w:val="0"/>
        <w:jc w:val="left"/>
        <w:rPr>
          <w:rFonts w:hint="eastAsia"/>
          <w:b/>
          <w:szCs w:val="21"/>
        </w:rPr>
      </w:pPr>
    </w:p>
    <w:p w14:paraId="2DE4F31E">
      <w:pPr>
        <w:autoSpaceDE w:val="0"/>
        <w:autoSpaceDN w:val="0"/>
        <w:adjustRightInd w:val="0"/>
        <w:jc w:val="left"/>
        <w:rPr>
          <w:rFonts w:hint="eastAsia"/>
          <w:szCs w:val="21"/>
        </w:rPr>
      </w:pPr>
      <w:r>
        <w:rPr>
          <w:b/>
          <w:szCs w:val="21"/>
        </w:rPr>
        <w:t>Background:</w:t>
      </w:r>
      <w:r>
        <w:t xml:space="preserve"> </w:t>
      </w:r>
      <w:r>
        <w:rPr>
          <w:rFonts w:hint="eastAsia"/>
        </w:rPr>
        <w:t xml:space="preserve">GNAQ is a protein that in humans encoded by the GNAQ gene. The GNAQ protein, an alpha subunit in the Gq class, couples a seven-transmembrane domain receptor to activation of </w:t>
      </w:r>
      <w:r>
        <w:t>phospholipase</w:t>
      </w:r>
      <w:r>
        <w:rPr>
          <w:rFonts w:hint="eastAsia"/>
        </w:rPr>
        <w:t xml:space="preserve"> C-beta. Mutations at this locus have been associated with problems in platelet activation and aggregation.</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413D3EE8">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GNAQ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Q209L</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7E540CD7">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0E57CA56">
      <w:pPr>
        <w:autoSpaceDE w:val="0"/>
        <w:autoSpaceDN w:val="0"/>
        <w:adjustRightInd w:val="0"/>
        <w:jc w:val="left"/>
        <w:rPr>
          <w:rFonts w:hint="eastAsia"/>
          <w:szCs w:val="21"/>
        </w:rPr>
      </w:pPr>
      <w:r>
        <w:rPr>
          <w:b/>
          <w:szCs w:val="21"/>
        </w:rPr>
        <w:t>Recommended dilutions</w:t>
      </w:r>
      <w:r>
        <w:rPr>
          <w:rFonts w:hint="eastAsia"/>
          <w:b/>
          <w:szCs w:val="21"/>
        </w:rPr>
        <w:t>:</w:t>
      </w:r>
    </w:p>
    <w:p w14:paraId="494597C4">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6F6D59C7">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702F054F">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4DE20D42">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0EBAA0AF">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5857C597">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7CD441A8">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1CEE4CFE">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4FF31639">
      <w:pPr>
        <w:autoSpaceDE w:val="0"/>
        <w:autoSpaceDN w:val="0"/>
        <w:adjustRightInd w:val="0"/>
        <w:jc w:val="left"/>
        <w:rPr>
          <w:rFonts w:hint="eastAsia"/>
          <w:szCs w:val="21"/>
        </w:rPr>
      </w:pPr>
      <w:r>
        <w:rPr>
          <w:b/>
          <w:szCs w:val="21"/>
        </w:rPr>
        <w:t>Storage buffer</w:t>
      </w:r>
      <w:r>
        <w:rPr>
          <w:rFonts w:hint="eastAsia"/>
          <w:b/>
          <w:szCs w:val="21"/>
        </w:rPr>
        <w:t xml:space="preserve">: </w:t>
      </w:r>
    </w:p>
    <w:p w14:paraId="600F0935">
      <w:pPr>
        <w:autoSpaceDE w:val="0"/>
        <w:autoSpaceDN w:val="0"/>
        <w:adjustRightInd w:val="0"/>
        <w:jc w:val="left"/>
        <w:rPr>
          <w:rFonts w:hint="eastAsia"/>
          <w:szCs w:val="21"/>
        </w:rPr>
      </w:pPr>
      <w:r>
        <w:rPr>
          <w:szCs w:val="21"/>
        </w:rPr>
        <w:t xml:space="preserve">Preservative: </w:t>
      </w:r>
      <w:r>
        <w:rPr>
          <w:szCs w:val="21"/>
          <w:lang/>
        </w:rPr>
        <w:t>no</w:t>
      </w:r>
    </w:p>
    <w:p w14:paraId="6B7F408D">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10D7215B">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Q209L </w:t>
      </w:r>
      <w:r>
        <w:rPr>
          <w:szCs w:val="21"/>
        </w:rPr>
        <w:t xml:space="preserve">mutant, but not wild-type </w:t>
      </w:r>
      <w:r>
        <w:rPr>
          <w:rFonts w:hint="eastAsia"/>
          <w:szCs w:val="21"/>
        </w:rPr>
        <w:t>GNAQ</w:t>
      </w:r>
      <w:r>
        <w:rPr>
          <w:szCs w:val="21"/>
        </w:rPr>
        <w:t xml:space="preserve"> of vertebrates.</w:t>
      </w:r>
    </w:p>
    <w:p w14:paraId="4A7CD5FD">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4F5D2B49">
      <w:pPr>
        <w:autoSpaceDE w:val="0"/>
        <w:autoSpaceDN w:val="0"/>
        <w:adjustRightInd w:val="0"/>
        <w:jc w:val="left"/>
        <w:rPr>
          <w:rFonts w:hint="eastAsia"/>
          <w:b/>
          <w:szCs w:val="21"/>
        </w:rPr>
      </w:pPr>
    </w:p>
    <w:p w14:paraId="5B4047D3">
      <w:pPr>
        <w:autoSpaceDE w:val="0"/>
        <w:autoSpaceDN w:val="0"/>
        <w:adjustRightInd w:val="0"/>
        <w:jc w:val="left"/>
        <w:rPr>
          <w:rFonts w:hint="eastAsia"/>
          <w:b/>
          <w:szCs w:val="21"/>
        </w:rPr>
      </w:pPr>
    </w:p>
    <w:p w14:paraId="6E632065">
      <w:pPr>
        <w:autoSpaceDE w:val="0"/>
        <w:autoSpaceDN w:val="0"/>
        <w:adjustRightInd w:val="0"/>
        <w:jc w:val="left"/>
        <w:rPr>
          <w:rFonts w:hint="eastAsia"/>
          <w:b/>
          <w:szCs w:val="21"/>
        </w:rPr>
      </w:pPr>
    </w:p>
    <w:p w14:paraId="0FC929DD">
      <w:pPr>
        <w:autoSpaceDE w:val="0"/>
        <w:autoSpaceDN w:val="0"/>
        <w:adjustRightInd w:val="0"/>
        <w:jc w:val="left"/>
        <w:rPr>
          <w:rFonts w:hint="eastAsia"/>
          <w:b/>
          <w:szCs w:val="21"/>
        </w:rPr>
      </w:pPr>
    </w:p>
    <w:p w14:paraId="10122655">
      <w:pPr>
        <w:autoSpaceDE w:val="0"/>
        <w:autoSpaceDN w:val="0"/>
        <w:adjustRightInd w:val="0"/>
        <w:jc w:val="left"/>
        <w:rPr>
          <w:rFonts w:hint="eastAsia"/>
          <w:b/>
          <w:szCs w:val="21"/>
        </w:rPr>
      </w:pPr>
    </w:p>
    <w:p w14:paraId="6CB2019B">
      <w:pPr>
        <w:autoSpaceDE w:val="0"/>
        <w:autoSpaceDN w:val="0"/>
        <w:adjustRightInd w:val="0"/>
        <w:jc w:val="left"/>
        <w:rPr>
          <w:rFonts w:hint="eastAsia"/>
          <w:b/>
          <w:szCs w:val="21"/>
        </w:rPr>
      </w:pPr>
    </w:p>
    <w:p w14:paraId="5144725D">
      <w:pPr>
        <w:autoSpaceDE w:val="0"/>
        <w:autoSpaceDN w:val="0"/>
        <w:adjustRightInd w:val="0"/>
        <w:jc w:val="left"/>
        <w:rPr>
          <w:rFonts w:hint="eastAsia"/>
          <w:szCs w:val="21"/>
          <w:lang/>
        </w:rPr>
      </w:pPr>
      <w:r>
        <w:rPr>
          <w:b/>
          <w:szCs w:val="21"/>
        </w:rPr>
        <w:t>Western blot:</w:t>
      </w:r>
    </w:p>
    <w:p w14:paraId="2DC4E660">
      <w:pPr>
        <w:autoSpaceDE w:val="0"/>
        <w:autoSpaceDN w:val="0"/>
        <w:adjustRightInd w:val="0"/>
        <w:ind w:right="-422" w:rightChars="-201"/>
        <w:jc w:val="center"/>
        <w:rPr>
          <w:szCs w:val="21"/>
          <w:lang/>
        </w:rPr>
      </w:pPr>
      <w:r>
        <w:rPr>
          <w:szCs w:val="21"/>
          <w:lang/>
        </w:rPr>
        <w:drawing>
          <wp:inline distT="0" distB="0" distL="114300" distR="114300">
            <wp:extent cx="2087880" cy="2310130"/>
            <wp:effectExtent l="0" t="0" r="0" b="0"/>
            <wp:docPr id="2" name="图片 5" descr="GNAQ (Q209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GNAQ (Q209L)"/>
                    <pic:cNvPicPr>
                      <a:picLocks noChangeAspect="1"/>
                    </pic:cNvPicPr>
                  </pic:nvPicPr>
                  <pic:blipFill>
                    <a:blip r:embed="rId10"/>
                    <a:stretch>
                      <a:fillRect/>
                    </a:stretch>
                  </pic:blipFill>
                  <pic:spPr>
                    <a:xfrm>
                      <a:off x="0" y="0"/>
                      <a:ext cx="2087880" cy="2310130"/>
                    </a:xfrm>
                    <a:prstGeom prst="rect">
                      <a:avLst/>
                    </a:prstGeom>
                    <a:noFill/>
                    <a:ln>
                      <a:noFill/>
                    </a:ln>
                  </pic:spPr>
                </pic:pic>
              </a:graphicData>
            </a:graphic>
          </wp:inline>
        </w:drawing>
      </w:r>
    </w:p>
    <w:p w14:paraId="60E8729A">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GNAQ (Q209L)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GNAQ (Q209L)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GNAQ (Q209L)</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26328</w:t>
      </w:r>
      <w:r>
        <w:rPr>
          <w:szCs w:val="21"/>
          <w:lang/>
        </w:rPr>
        <w:t>)</w:t>
      </w:r>
      <w:r>
        <w:rPr>
          <w:rFonts w:hint="eastAsia"/>
          <w:szCs w:val="21"/>
          <w:lang/>
        </w:rPr>
        <w:t xml:space="preserve">. </w:t>
      </w:r>
    </w:p>
    <w:p w14:paraId="7039B2D5">
      <w:pPr>
        <w:autoSpaceDE w:val="0"/>
        <w:autoSpaceDN w:val="0"/>
        <w:adjustRightInd w:val="0"/>
        <w:jc w:val="left"/>
        <w:rPr>
          <w:rFonts w:hint="eastAsia"/>
          <w:szCs w:val="21"/>
          <w:lang/>
        </w:rPr>
      </w:pPr>
    </w:p>
    <w:p w14:paraId="0C2D0BBF">
      <w:pPr>
        <w:autoSpaceDE w:val="0"/>
        <w:autoSpaceDN w:val="0"/>
        <w:adjustRightInd w:val="0"/>
        <w:jc w:val="left"/>
        <w:rPr>
          <w:rFonts w:hint="eastAsia"/>
          <w:szCs w:val="21"/>
          <w:lang/>
        </w:rPr>
      </w:pPr>
    </w:p>
    <w:p w14:paraId="2561D152">
      <w:pPr>
        <w:autoSpaceDE w:val="0"/>
        <w:autoSpaceDN w:val="0"/>
        <w:adjustRightInd w:val="0"/>
        <w:jc w:val="left"/>
        <w:rPr>
          <w:rFonts w:hint="eastAsia"/>
          <w:szCs w:val="21"/>
          <w:lang/>
        </w:rPr>
      </w:pPr>
    </w:p>
    <w:p w14:paraId="47BBFAFC">
      <w:pPr>
        <w:autoSpaceDE w:val="0"/>
        <w:autoSpaceDN w:val="0"/>
        <w:adjustRightInd w:val="0"/>
        <w:jc w:val="left"/>
        <w:rPr>
          <w:rFonts w:hint="eastAsia"/>
          <w:szCs w:val="21"/>
          <w:lang/>
        </w:rPr>
      </w:pPr>
    </w:p>
    <w:p w14:paraId="5E0A69FB">
      <w:pPr>
        <w:autoSpaceDE w:val="0"/>
        <w:autoSpaceDN w:val="0"/>
        <w:adjustRightInd w:val="0"/>
        <w:jc w:val="left"/>
        <w:rPr>
          <w:rFonts w:hint="eastAsia"/>
          <w:szCs w:val="21"/>
          <w:lang/>
        </w:rPr>
      </w:pPr>
    </w:p>
    <w:p w14:paraId="333C1BC4">
      <w:pPr>
        <w:autoSpaceDE w:val="0"/>
        <w:autoSpaceDN w:val="0"/>
        <w:adjustRightInd w:val="0"/>
        <w:jc w:val="left"/>
        <w:rPr>
          <w:rFonts w:hint="eastAsia"/>
          <w:szCs w:val="21"/>
          <w:lang/>
        </w:rPr>
      </w:pPr>
    </w:p>
    <w:p w14:paraId="69D5B95E">
      <w:pPr>
        <w:autoSpaceDE w:val="0"/>
        <w:autoSpaceDN w:val="0"/>
        <w:adjustRightInd w:val="0"/>
        <w:jc w:val="left"/>
        <w:rPr>
          <w:rFonts w:hint="eastAsia"/>
          <w:szCs w:val="21"/>
          <w:lang/>
        </w:rPr>
      </w:pPr>
    </w:p>
    <w:p w14:paraId="644830B2">
      <w:pPr>
        <w:autoSpaceDE w:val="0"/>
        <w:autoSpaceDN w:val="0"/>
        <w:adjustRightInd w:val="0"/>
        <w:jc w:val="left"/>
        <w:rPr>
          <w:rFonts w:hint="eastAsia"/>
          <w:szCs w:val="21"/>
          <w:lang/>
        </w:rPr>
      </w:pPr>
    </w:p>
    <w:p w14:paraId="359BEDD5">
      <w:pPr>
        <w:autoSpaceDE w:val="0"/>
        <w:autoSpaceDN w:val="0"/>
        <w:adjustRightInd w:val="0"/>
        <w:jc w:val="left"/>
        <w:rPr>
          <w:rFonts w:hint="eastAsia"/>
          <w:szCs w:val="21"/>
          <w:lang/>
        </w:rPr>
      </w:pPr>
    </w:p>
    <w:p w14:paraId="20DE16C4">
      <w:pPr>
        <w:autoSpaceDE w:val="0"/>
        <w:autoSpaceDN w:val="0"/>
        <w:adjustRightInd w:val="0"/>
        <w:jc w:val="left"/>
        <w:rPr>
          <w:rFonts w:hint="eastAsia"/>
          <w:szCs w:val="21"/>
          <w:lang/>
        </w:rPr>
      </w:pPr>
    </w:p>
    <w:p w14:paraId="7698B6AF">
      <w:pPr>
        <w:autoSpaceDE w:val="0"/>
        <w:autoSpaceDN w:val="0"/>
        <w:adjustRightInd w:val="0"/>
        <w:jc w:val="left"/>
        <w:rPr>
          <w:rFonts w:hint="eastAsia"/>
          <w:szCs w:val="21"/>
          <w:lang/>
        </w:rPr>
      </w:pPr>
    </w:p>
    <w:p w14:paraId="1D376522">
      <w:pPr>
        <w:autoSpaceDE w:val="0"/>
        <w:autoSpaceDN w:val="0"/>
        <w:adjustRightInd w:val="0"/>
        <w:jc w:val="left"/>
        <w:rPr>
          <w:rFonts w:hint="eastAsia"/>
          <w:szCs w:val="21"/>
          <w:lang/>
        </w:rPr>
      </w:pPr>
    </w:p>
    <w:p w14:paraId="18EAE52C">
      <w:pPr>
        <w:autoSpaceDE w:val="0"/>
        <w:autoSpaceDN w:val="0"/>
        <w:adjustRightInd w:val="0"/>
        <w:jc w:val="left"/>
        <w:rPr>
          <w:rFonts w:hint="eastAsia"/>
          <w:szCs w:val="21"/>
          <w:lang/>
        </w:rPr>
      </w:pPr>
    </w:p>
    <w:p w14:paraId="67B17D8B">
      <w:pPr>
        <w:autoSpaceDE w:val="0"/>
        <w:autoSpaceDN w:val="0"/>
        <w:adjustRightInd w:val="0"/>
        <w:jc w:val="left"/>
        <w:rPr>
          <w:rFonts w:hint="eastAsia"/>
          <w:szCs w:val="21"/>
          <w:lang/>
        </w:rPr>
      </w:pPr>
    </w:p>
    <w:p w14:paraId="1092BE4B">
      <w:pPr>
        <w:autoSpaceDE w:val="0"/>
        <w:autoSpaceDN w:val="0"/>
        <w:adjustRightInd w:val="0"/>
        <w:jc w:val="left"/>
        <w:rPr>
          <w:b/>
          <w:szCs w:val="21"/>
        </w:rPr>
      </w:pPr>
    </w:p>
    <w:p w14:paraId="1EDCE270">
      <w:pPr>
        <w:autoSpaceDE w:val="0"/>
        <w:autoSpaceDN w:val="0"/>
        <w:adjustRightInd w:val="0"/>
        <w:jc w:val="left"/>
        <w:rPr>
          <w:b/>
          <w:szCs w:val="21"/>
        </w:rPr>
      </w:pPr>
    </w:p>
    <w:p w14:paraId="55EDB302">
      <w:pPr>
        <w:autoSpaceDE w:val="0"/>
        <w:autoSpaceDN w:val="0"/>
        <w:adjustRightInd w:val="0"/>
        <w:jc w:val="left"/>
        <w:rPr>
          <w:b/>
          <w:szCs w:val="21"/>
        </w:rPr>
      </w:pPr>
      <w:r>
        <w:rPr>
          <w:b/>
          <w:szCs w:val="21"/>
        </w:rPr>
        <w:t>Immunofluorescence:</w:t>
      </w:r>
    </w:p>
    <w:p w14:paraId="4F7948AF">
      <w:pPr>
        <w:autoSpaceDE w:val="0"/>
        <w:autoSpaceDN w:val="0"/>
        <w:adjustRightInd w:val="0"/>
        <w:jc w:val="left"/>
        <w:rPr>
          <w:rFonts w:hint="eastAsia"/>
          <w:b/>
          <w:szCs w:val="21"/>
        </w:rPr>
      </w:pPr>
      <w:r>
        <w:rPr>
          <w:b/>
          <w:szCs w:val="21"/>
        </w:rPr>
        <w:drawing>
          <wp:inline distT="0" distB="0" distL="114300" distR="114300">
            <wp:extent cx="2932430" cy="2660015"/>
            <wp:effectExtent l="0" t="0" r="0" b="6985"/>
            <wp:docPr id="3" name="图片 2" descr="26328 GNAQ (Q209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6328 GNAQ (Q209L)"/>
                    <pic:cNvPicPr>
                      <a:picLocks noChangeAspect="1"/>
                    </pic:cNvPicPr>
                  </pic:nvPicPr>
                  <pic:blipFill>
                    <a:blip r:embed="rId11"/>
                    <a:stretch>
                      <a:fillRect/>
                    </a:stretch>
                  </pic:blipFill>
                  <pic:spPr>
                    <a:xfrm>
                      <a:off x="0" y="0"/>
                      <a:ext cx="2932430" cy="2660015"/>
                    </a:xfrm>
                    <a:prstGeom prst="rect">
                      <a:avLst/>
                    </a:prstGeom>
                    <a:noFill/>
                    <a:ln>
                      <a:noFill/>
                    </a:ln>
                  </pic:spPr>
                </pic:pic>
              </a:graphicData>
            </a:graphic>
          </wp:inline>
        </w:drawing>
      </w:r>
    </w:p>
    <w:p w14:paraId="0891880A">
      <w:pPr>
        <w:autoSpaceDE w:val="0"/>
        <w:autoSpaceDN w:val="0"/>
        <w:adjustRightInd w:val="0"/>
        <w:jc w:val="left"/>
        <w:rPr>
          <w:szCs w:val="21"/>
        </w:rPr>
      </w:pPr>
      <w:r>
        <w:rPr>
          <w:b/>
          <w:szCs w:val="21"/>
        </w:rPr>
        <w:t xml:space="preserve">Immunofluorescence of cells expressing </w:t>
      </w:r>
      <w:r>
        <w:rPr>
          <w:rFonts w:hint="eastAsia"/>
          <w:b/>
          <w:szCs w:val="21"/>
        </w:rPr>
        <w:t>GNAQ</w:t>
      </w:r>
      <w:r>
        <w:rPr>
          <w:b/>
          <w:szCs w:val="21"/>
        </w:rPr>
        <w:t xml:space="preserve"> proteins with anti-</w:t>
      </w:r>
      <w:r>
        <w:rPr>
          <w:rFonts w:hint="eastAsia"/>
          <w:b/>
          <w:szCs w:val="21"/>
        </w:rPr>
        <w:t>GNAQ</w:t>
      </w:r>
      <w:r>
        <w:rPr>
          <w:b/>
          <w:szCs w:val="21"/>
        </w:rPr>
        <w:t xml:space="preserve"> (</w:t>
      </w:r>
      <w:r>
        <w:rPr>
          <w:rFonts w:hint="eastAsia"/>
          <w:b/>
          <w:szCs w:val="21"/>
        </w:rPr>
        <w:t>Q209L</w:t>
      </w:r>
      <w:r>
        <w:rPr>
          <w:b/>
          <w:szCs w:val="21"/>
        </w:rPr>
        <w:t xml:space="preserve">) antibody. </w:t>
      </w:r>
      <w:r>
        <w:rPr>
          <w:szCs w:val="21"/>
        </w:rPr>
        <w:t>HEK293T cells were transfected with pCDNA3-GFP-</w:t>
      </w:r>
      <w:r>
        <w:rPr>
          <w:rFonts w:hint="eastAsia"/>
          <w:szCs w:val="21"/>
        </w:rPr>
        <w:t>GNAQ</w:t>
      </w:r>
      <w:r>
        <w:rPr>
          <w:szCs w:val="21"/>
        </w:rPr>
        <w:t xml:space="preserve"> (WT) plasmid (left column) or pCDNA3-GFP-</w:t>
      </w:r>
      <w:r>
        <w:rPr>
          <w:rFonts w:hint="eastAsia"/>
          <w:szCs w:val="21"/>
        </w:rPr>
        <w:t>GNAQ</w:t>
      </w:r>
      <w:r>
        <w:rPr>
          <w:szCs w:val="21"/>
        </w:rPr>
        <w:t xml:space="preserve"> (</w:t>
      </w:r>
      <w:r>
        <w:rPr>
          <w:rFonts w:hint="eastAsia"/>
          <w:szCs w:val="21"/>
        </w:rPr>
        <w:t>Q209L</w:t>
      </w:r>
      <w:r>
        <w:rPr>
          <w:szCs w:val="21"/>
        </w:rPr>
        <w:t>)</w:t>
      </w:r>
      <w:r>
        <w:rPr>
          <w:b/>
          <w:szCs w:val="21"/>
        </w:rPr>
        <w:t xml:space="preserve"> </w:t>
      </w:r>
      <w:r>
        <w:rPr>
          <w:szCs w:val="21"/>
        </w:rPr>
        <w:t>plasmid (right column), then fixed and stained with anti-</w:t>
      </w:r>
      <w:r>
        <w:rPr>
          <w:rFonts w:hint="eastAsia"/>
          <w:szCs w:val="21"/>
        </w:rPr>
        <w:t>GNAQ</w:t>
      </w:r>
      <w:r>
        <w:rPr>
          <w:szCs w:val="21"/>
        </w:rPr>
        <w:t xml:space="preserve"> (</w:t>
      </w:r>
      <w:r>
        <w:rPr>
          <w:rFonts w:hint="eastAsia"/>
          <w:szCs w:val="21"/>
        </w:rPr>
        <w:t>Q209L</w:t>
      </w:r>
      <w:r>
        <w:rPr>
          <w:szCs w:val="21"/>
        </w:rPr>
        <w:t>) monoclonal antibody (Cat. #26328).</w:t>
      </w:r>
    </w:p>
    <w:p w14:paraId="1407FF2B">
      <w:pPr>
        <w:autoSpaceDE w:val="0"/>
        <w:autoSpaceDN w:val="0"/>
        <w:adjustRightInd w:val="0"/>
        <w:jc w:val="left"/>
        <w:rPr>
          <w:b/>
          <w:szCs w:val="21"/>
        </w:rPr>
      </w:pPr>
    </w:p>
    <w:p w14:paraId="5B74024B">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9A965">
    <w:pPr>
      <w:jc w:val="center"/>
      <w:rPr>
        <w:rFonts w:hint="eastAsia" w:ascii="Arial" w:hAnsi="Arial" w:cs="Arial"/>
        <w:b/>
        <w:sz w:val="16"/>
        <w:szCs w:val="16"/>
      </w:rPr>
    </w:pPr>
  </w:p>
  <w:p w14:paraId="0231F9ED">
    <w:pPr>
      <w:jc w:val="center"/>
      <w:rPr>
        <w:rFonts w:hint="eastAsia" w:ascii="Arial" w:hAnsi="Arial" w:cs="Arial"/>
        <w:b/>
        <w:sz w:val="16"/>
        <w:szCs w:val="16"/>
      </w:rPr>
    </w:pPr>
  </w:p>
  <w:p w14:paraId="6229AD77">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7771C746">
    <w:pPr>
      <w:jc w:val="center"/>
      <w:rPr>
        <w:rFonts w:hint="eastAsia" w:ascii="Arial" w:hAnsi="Arial" w:cs="Arial"/>
        <w:b/>
        <w:i/>
        <w:sz w:val="18"/>
        <w:szCs w:val="18"/>
      </w:rPr>
    </w:pPr>
  </w:p>
  <w:p w14:paraId="3AB86EB5">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781B6">
    <w:pPr>
      <w:jc w:val="center"/>
      <w:rPr>
        <w:rFonts w:hint="eastAsia" w:ascii="Arial" w:hAnsi="Arial" w:cs="Arial"/>
        <w:b/>
        <w:sz w:val="16"/>
        <w:szCs w:val="16"/>
      </w:rPr>
    </w:pPr>
  </w:p>
  <w:p w14:paraId="358D9C34">
    <w:pPr>
      <w:jc w:val="center"/>
      <w:rPr>
        <w:rFonts w:hint="eastAsia" w:ascii="Arial" w:hAnsi="Arial" w:cs="Arial"/>
        <w:b/>
        <w:sz w:val="16"/>
        <w:szCs w:val="16"/>
      </w:rPr>
    </w:pPr>
  </w:p>
  <w:p w14:paraId="6B1BA95A">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ED583">
    <w:pPr>
      <w:jc w:val="center"/>
      <w:rPr>
        <w:rFonts w:hint="eastAsia" w:ascii="Arial" w:hAnsi="Arial" w:cs="Arial"/>
        <w:b/>
        <w:sz w:val="16"/>
        <w:szCs w:val="16"/>
      </w:rPr>
    </w:pPr>
  </w:p>
  <w:p w14:paraId="17DBF15D">
    <w:pPr>
      <w:jc w:val="center"/>
      <w:rPr>
        <w:rFonts w:hint="eastAsia" w:ascii="Arial" w:hAnsi="Arial" w:cs="Arial"/>
        <w:b/>
        <w:sz w:val="16"/>
        <w:szCs w:val="16"/>
      </w:rPr>
    </w:pPr>
  </w:p>
  <w:p w14:paraId="224061CE">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75C90AB7">
    <w:pPr>
      <w:jc w:val="center"/>
      <w:rPr>
        <w:rFonts w:hint="eastAsia" w:ascii="Arial" w:hAnsi="Arial" w:cs="Arial"/>
        <w:b/>
        <w:i/>
        <w:sz w:val="18"/>
        <w:szCs w:val="18"/>
      </w:rPr>
    </w:pPr>
  </w:p>
  <w:p w14:paraId="327358D8">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14D0CDB6">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10A406EE">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58330F88">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5D4BE1EC">
    <w:pPr>
      <w:jc w:val="center"/>
      <w:rPr>
        <w:b/>
      </w:rPr>
    </w:pPr>
  </w:p>
  <w:p w14:paraId="7171A31F">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83C83">
    <w:pPr>
      <w:ind w:right="-874" w:rightChars="-416"/>
      <w:rPr>
        <w:rFonts w:ascii="Arial Black" w:hAnsi="Arial Black" w:cs="Arial"/>
        <w:b/>
        <w:color w:val="339933"/>
        <w:sz w:val="24"/>
      </w:rPr>
    </w:pPr>
    <w:r>
      <w:rPr>
        <w:rFonts w:hint="eastAsia"/>
        <w:lang/>
      </w:rPr>
      <w:drawing>
        <wp:inline distT="0" distB="0" distL="114300" distR="114300">
          <wp:extent cx="1124585" cy="1047115"/>
          <wp:effectExtent l="0" t="0" r="18415" b="635"/>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124585" cy="104711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021F">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80BA3">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4E78A2CC">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333F"/>
    <w:rsid w:val="00073F7B"/>
    <w:rsid w:val="00084581"/>
    <w:rsid w:val="000974A1"/>
    <w:rsid w:val="000C2015"/>
    <w:rsid w:val="000E3F60"/>
    <w:rsid w:val="001012CC"/>
    <w:rsid w:val="00123E34"/>
    <w:rsid w:val="00142339"/>
    <w:rsid w:val="00153537"/>
    <w:rsid w:val="00171C5C"/>
    <w:rsid w:val="00172115"/>
    <w:rsid w:val="00192F20"/>
    <w:rsid w:val="001A290F"/>
    <w:rsid w:val="001C3EE9"/>
    <w:rsid w:val="001C672D"/>
    <w:rsid w:val="001F2999"/>
    <w:rsid w:val="00241BBF"/>
    <w:rsid w:val="002430A1"/>
    <w:rsid w:val="0026180F"/>
    <w:rsid w:val="002F0E05"/>
    <w:rsid w:val="00300927"/>
    <w:rsid w:val="00343CA4"/>
    <w:rsid w:val="00375B4D"/>
    <w:rsid w:val="00397636"/>
    <w:rsid w:val="003A3289"/>
    <w:rsid w:val="003B7C81"/>
    <w:rsid w:val="003C3492"/>
    <w:rsid w:val="003C59E3"/>
    <w:rsid w:val="004611D3"/>
    <w:rsid w:val="00490D95"/>
    <w:rsid w:val="00505800"/>
    <w:rsid w:val="00550515"/>
    <w:rsid w:val="00571BE2"/>
    <w:rsid w:val="005A53E1"/>
    <w:rsid w:val="005D6552"/>
    <w:rsid w:val="006175A5"/>
    <w:rsid w:val="00646D5A"/>
    <w:rsid w:val="00660E8C"/>
    <w:rsid w:val="00694FCF"/>
    <w:rsid w:val="006A2D51"/>
    <w:rsid w:val="006D348F"/>
    <w:rsid w:val="00752559"/>
    <w:rsid w:val="00755F50"/>
    <w:rsid w:val="00781EDF"/>
    <w:rsid w:val="00792DE5"/>
    <w:rsid w:val="00843503"/>
    <w:rsid w:val="00890678"/>
    <w:rsid w:val="008C34CA"/>
    <w:rsid w:val="008D71D5"/>
    <w:rsid w:val="008E7F2D"/>
    <w:rsid w:val="009A6361"/>
    <w:rsid w:val="009C58F5"/>
    <w:rsid w:val="009D4D80"/>
    <w:rsid w:val="009E6C12"/>
    <w:rsid w:val="00A105F9"/>
    <w:rsid w:val="00A11221"/>
    <w:rsid w:val="00A11968"/>
    <w:rsid w:val="00A6462C"/>
    <w:rsid w:val="00A96445"/>
    <w:rsid w:val="00AD27D9"/>
    <w:rsid w:val="00AE3BD8"/>
    <w:rsid w:val="00B03E15"/>
    <w:rsid w:val="00B1148F"/>
    <w:rsid w:val="00B33577"/>
    <w:rsid w:val="00B5415B"/>
    <w:rsid w:val="00B77CF4"/>
    <w:rsid w:val="00BD2F41"/>
    <w:rsid w:val="00BF6908"/>
    <w:rsid w:val="00C243CF"/>
    <w:rsid w:val="00C41497"/>
    <w:rsid w:val="00C433D4"/>
    <w:rsid w:val="00CA6616"/>
    <w:rsid w:val="00CC5FCB"/>
    <w:rsid w:val="00D14A75"/>
    <w:rsid w:val="00D819A2"/>
    <w:rsid w:val="00D84566"/>
    <w:rsid w:val="00D85121"/>
    <w:rsid w:val="00DB0C73"/>
    <w:rsid w:val="00DB59F2"/>
    <w:rsid w:val="00DE5D8B"/>
    <w:rsid w:val="00DF4368"/>
    <w:rsid w:val="00DF7B7B"/>
    <w:rsid w:val="00E5415A"/>
    <w:rsid w:val="00ED04D1"/>
    <w:rsid w:val="00ED0FD4"/>
    <w:rsid w:val="00EE345F"/>
    <w:rsid w:val="00F84DF8"/>
    <w:rsid w:val="00FA147F"/>
    <w:rsid w:val="00FC361E"/>
    <w:rsid w:val="00FD4EBC"/>
    <w:rsid w:val="00FD7A7F"/>
    <w:rsid w:val="00FE71C7"/>
    <w:rsid w:val="54D105A4"/>
    <w:rsid w:val="682222B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217</Words>
  <Characters>1388</Characters>
  <Lines>14</Lines>
  <Paragraphs>4</Paragraphs>
  <TotalTime>0</TotalTime>
  <ScaleCrop>false</ScaleCrop>
  <LinksUpToDate>false</LinksUpToDate>
  <CharactersWithSpaces>1592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2025-08-15T23:59:11Z</dcterms:modified>
  <dc:title>Akt1</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49FF4B8969A248DCA5C90DFD80926F08_13</vt:lpwstr>
  </property>
</Properties>
</file>